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จนท. 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อัตราค่าธรรมเนียมต่ออายุใบอนุญาตประกอบกิจการที่เป็นอันตรายต่อสุขภาพ ฉบับละไม่เกิน 10,000 บาทต่อปี (คิดตามประเภทและขนาดของกิจการ)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13/08/2015 10:33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